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450C4">
      <w:pPr>
        <w:pStyle w:val="5"/>
        <w:numPr>
          <w:ilvl w:val="0"/>
          <w:numId w:val="0"/>
        </w:numPr>
        <w:suppressAutoHyphens/>
        <w:spacing w:after="0" w:line="240" w:lineRule="auto"/>
        <w:ind w:left="284" w:leftChars="0"/>
        <w:jc w:val="both"/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lang w:val="uk-UA" w:eastAsia="ru-RU"/>
        </w:rPr>
      </w:pPr>
      <w:r>
        <w:rPr>
          <w:rFonts w:ascii="Times New Roman" w:hAnsi="Times New Roman" w:eastAsia="Calibri" w:cs="Times New Roman"/>
          <w:b/>
          <w:bCs/>
          <w:spacing w:val="1"/>
          <w:sz w:val="24"/>
          <w:szCs w:val="24"/>
          <w:lang w:val="uk-UA" w:eastAsia="ar-SA"/>
        </w:rPr>
        <w:t>Обладнання і техніка, придбана для надання послуг, повинні бути амортизовані не менше ніж за 24 місяці, або у відповідності до діючих норм.</w:t>
      </w:r>
    </w:p>
    <w:tbl>
      <w:tblPr>
        <w:tblStyle w:val="4"/>
        <w:tblpPr w:leftFromText="180" w:rightFromText="180" w:vertAnchor="text" w:horzAnchor="page" w:tblpXSpec="center" w:tblpY="473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999"/>
        <w:gridCol w:w="1499"/>
        <w:gridCol w:w="749"/>
        <w:gridCol w:w="1255"/>
        <w:gridCol w:w="1653"/>
      </w:tblGrid>
      <w:tr w14:paraId="3F8B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74" w:type="dxa"/>
            <w:shd w:val="clear" w:color="auto" w:fill="auto"/>
          </w:tcPr>
          <w:p w14:paraId="2A014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uk-UA" w:eastAsia="ru-RU"/>
              </w:rPr>
              <w:t>Найменування підрозділу (об’єкт прибирання)</w:t>
            </w:r>
          </w:p>
        </w:tc>
        <w:tc>
          <w:tcPr>
            <w:tcW w:w="1999" w:type="dxa"/>
          </w:tcPr>
          <w:p w14:paraId="0E672D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uk-UA" w:eastAsia="ru-RU"/>
              </w:rPr>
              <w:t>Виробник і мод. обладнання</w:t>
            </w:r>
          </w:p>
        </w:tc>
        <w:tc>
          <w:tcPr>
            <w:tcW w:w="1499" w:type="dxa"/>
            <w:shd w:val="clear" w:color="auto" w:fill="auto"/>
            <w:noWrap/>
          </w:tcPr>
          <w:p w14:paraId="2753F4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uk-UA" w:eastAsia="ru-RU"/>
              </w:rPr>
              <w:t>Вартість, грн без ПДВ</w:t>
            </w:r>
          </w:p>
        </w:tc>
        <w:tc>
          <w:tcPr>
            <w:tcW w:w="749" w:type="dxa"/>
          </w:tcPr>
          <w:p w14:paraId="5AD1D7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uk-UA" w:eastAsia="ru-RU"/>
              </w:rPr>
              <w:t>Кіл.</w:t>
            </w:r>
          </w:p>
        </w:tc>
        <w:tc>
          <w:tcPr>
            <w:tcW w:w="1255" w:type="dxa"/>
          </w:tcPr>
          <w:p w14:paraId="3F5807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uk-UA" w:eastAsia="ru-RU"/>
              </w:rPr>
              <w:t>Сума, грн</w:t>
            </w:r>
          </w:p>
          <w:p w14:paraId="2F13B7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uk-UA" w:eastAsia="ru-RU"/>
              </w:rPr>
              <w:t>без ПДВ</w:t>
            </w:r>
          </w:p>
        </w:tc>
        <w:tc>
          <w:tcPr>
            <w:tcW w:w="1653" w:type="dxa"/>
          </w:tcPr>
          <w:p w14:paraId="2280BA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uk-UA" w:eastAsia="ru-RU"/>
              </w:rPr>
              <w:t>Методика підбору</w:t>
            </w:r>
          </w:p>
        </w:tc>
      </w:tr>
      <w:tr w14:paraId="2406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374" w:type="dxa"/>
            <w:shd w:val="clear" w:color="auto" w:fill="auto"/>
            <w:noWrap/>
            <w:vAlign w:val="center"/>
          </w:tcPr>
          <w:p w14:paraId="57B505F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АТ «ДТЕК ДНІПРОВСЬКІ ЕЛЕКТРОМЕРЕЖІ»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999" w:type="dxa"/>
            <w:vAlign w:val="center"/>
          </w:tcPr>
          <w:p w14:paraId="56B2C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2" w:lineRule="atLeast"/>
              <w:ind w:left="0" w:right="0" w:firstLine="0"/>
              <w:jc w:val="left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  <w:t>Газонокосарка електрична Кентавр ЕГК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23BF9C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pacing w:val="1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pacing w:val="1"/>
                <w:sz w:val="20"/>
                <w:szCs w:val="20"/>
                <w:lang w:val="uk-UA" w:eastAsia="ru-RU"/>
              </w:rPr>
              <w:t>3400</w:t>
            </w:r>
          </w:p>
        </w:tc>
        <w:tc>
          <w:tcPr>
            <w:tcW w:w="749" w:type="dxa"/>
            <w:vAlign w:val="center"/>
          </w:tcPr>
          <w:p w14:paraId="08D41B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55" w:type="dxa"/>
            <w:vAlign w:val="center"/>
          </w:tcPr>
          <w:p w14:paraId="4C3ACA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  <w:t>13600</w:t>
            </w:r>
          </w:p>
        </w:tc>
        <w:tc>
          <w:tcPr>
            <w:tcW w:w="1653" w:type="dxa"/>
          </w:tcPr>
          <w:p w14:paraId="0673D0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  <w:t>Згідно</w:t>
            </w:r>
            <w:r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  <w:t xml:space="preserve"> калькуляції</w:t>
            </w:r>
          </w:p>
        </w:tc>
      </w:tr>
      <w:tr w14:paraId="7668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374" w:type="dxa"/>
            <w:shd w:val="clear" w:color="auto" w:fill="auto"/>
            <w:noWrap/>
            <w:vAlign w:val="center"/>
          </w:tcPr>
          <w:p w14:paraId="39EDA9C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АТ «ДТЕК ДНІПРОВСЬКІ ЕЛЕКТРОМЕРЕЖІ»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999" w:type="dxa"/>
            <w:vAlign w:val="center"/>
          </w:tcPr>
          <w:p w14:paraId="6D9797DA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  <w:lang w:val="uk-UA" w:eastAsia="ru-RU"/>
              </w:rPr>
              <w:t>Господарський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  <w:lang w:val="uk-UA" w:eastAsia="ru-RU"/>
              </w:rPr>
              <w:t xml:space="preserve"> пилосос Керхер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6BA96E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pacing w:val="1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pacing w:val="1"/>
                <w:sz w:val="20"/>
                <w:szCs w:val="20"/>
                <w:lang w:val="uk-UA" w:eastAsia="ru-RU"/>
              </w:rPr>
              <w:t>4400</w:t>
            </w:r>
          </w:p>
        </w:tc>
        <w:tc>
          <w:tcPr>
            <w:tcW w:w="749" w:type="dxa"/>
            <w:vAlign w:val="center"/>
          </w:tcPr>
          <w:p w14:paraId="5E00D1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55" w:type="dxa"/>
            <w:vAlign w:val="center"/>
          </w:tcPr>
          <w:p w14:paraId="60846D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  <w:t>4400</w:t>
            </w:r>
          </w:p>
        </w:tc>
        <w:tc>
          <w:tcPr>
            <w:tcW w:w="1653" w:type="dxa"/>
          </w:tcPr>
          <w:p w14:paraId="53797A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  <w:t>Згідно</w:t>
            </w:r>
            <w:r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  <w:t xml:space="preserve"> калькуляції</w:t>
            </w:r>
          </w:p>
        </w:tc>
      </w:tr>
      <w:tr w14:paraId="0E3E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374" w:type="dxa"/>
            <w:shd w:val="clear" w:color="auto" w:fill="auto"/>
            <w:noWrap/>
            <w:vAlign w:val="center"/>
          </w:tcPr>
          <w:p w14:paraId="13333A7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АТ «ДТЕК ДНІПРОВСЬКІ ЕЛЕКТРОМЕРЕЖІ»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999" w:type="dxa"/>
            <w:vAlign w:val="center"/>
          </w:tcPr>
          <w:p w14:paraId="2F576E4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pacing w:val="1"/>
                <w:sz w:val="20"/>
                <w:szCs w:val="20"/>
                <w:lang w:val="uk-UA" w:eastAsia="ru-RU"/>
              </w:rPr>
              <w:t>Підлогомиюча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pacing w:val="1"/>
                <w:sz w:val="20"/>
                <w:szCs w:val="20"/>
                <w:lang w:val="uk-UA" w:eastAsia="ru-RU"/>
              </w:rPr>
              <w:t xml:space="preserve"> машина Керхер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482F76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pacing w:val="1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pacing w:val="1"/>
                <w:sz w:val="20"/>
                <w:szCs w:val="20"/>
                <w:lang w:val="uk-UA" w:eastAsia="ru-RU"/>
              </w:rPr>
              <w:t>120 000</w:t>
            </w:r>
          </w:p>
        </w:tc>
        <w:tc>
          <w:tcPr>
            <w:tcW w:w="749" w:type="dxa"/>
            <w:vAlign w:val="center"/>
          </w:tcPr>
          <w:p w14:paraId="5FD6C1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55" w:type="dxa"/>
            <w:vAlign w:val="center"/>
          </w:tcPr>
          <w:p w14:paraId="4CBF65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  <w:t>120 000</w:t>
            </w:r>
          </w:p>
        </w:tc>
        <w:tc>
          <w:tcPr>
            <w:tcW w:w="1653" w:type="dxa"/>
          </w:tcPr>
          <w:p w14:paraId="65AF39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  <w:t>Згідно</w:t>
            </w:r>
            <w:r>
              <w:rPr>
                <w:rFonts w:hint="default"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  <w:t xml:space="preserve"> калькуляції</w:t>
            </w:r>
          </w:p>
        </w:tc>
      </w:tr>
      <w:tr w14:paraId="3F8A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374" w:type="dxa"/>
            <w:shd w:val="clear" w:color="auto" w:fill="auto"/>
            <w:noWrap/>
            <w:vAlign w:val="center"/>
          </w:tcPr>
          <w:p w14:paraId="01EBE81D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1999" w:type="dxa"/>
            <w:vAlign w:val="center"/>
          </w:tcPr>
          <w:p w14:paraId="523448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</w:pP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3ABEBD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</w:pPr>
          </w:p>
        </w:tc>
        <w:tc>
          <w:tcPr>
            <w:tcW w:w="749" w:type="dxa"/>
            <w:vAlign w:val="center"/>
          </w:tcPr>
          <w:p w14:paraId="42720C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</w:pPr>
          </w:p>
        </w:tc>
        <w:tc>
          <w:tcPr>
            <w:tcW w:w="1255" w:type="dxa"/>
            <w:vAlign w:val="center"/>
          </w:tcPr>
          <w:p w14:paraId="2C5ADF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</w:pPr>
          </w:p>
        </w:tc>
        <w:tc>
          <w:tcPr>
            <w:tcW w:w="1653" w:type="dxa"/>
          </w:tcPr>
          <w:p w14:paraId="354552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uk-UA" w:eastAsia="ru-RU"/>
              </w:rPr>
            </w:pPr>
          </w:p>
        </w:tc>
      </w:tr>
      <w:tr w14:paraId="2B43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374" w:type="dxa"/>
            <w:shd w:val="clear" w:color="auto" w:fill="auto"/>
            <w:noWrap/>
            <w:vAlign w:val="center"/>
          </w:tcPr>
          <w:p w14:paraId="123E544F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uk-UA" w:eastAsia="ru-RU"/>
              </w:rPr>
            </w:pPr>
          </w:p>
        </w:tc>
        <w:tc>
          <w:tcPr>
            <w:tcW w:w="1999" w:type="dxa"/>
            <w:vAlign w:val="center"/>
          </w:tcPr>
          <w:p w14:paraId="7C351D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  <w:lang w:val="uk-UA" w:eastAsia="ru-RU"/>
              </w:rPr>
            </w:pP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1CA9AC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  <w:lang w:val="uk-UA" w:eastAsia="ru-RU"/>
              </w:rPr>
            </w:pPr>
          </w:p>
        </w:tc>
        <w:tc>
          <w:tcPr>
            <w:tcW w:w="749" w:type="dxa"/>
            <w:vAlign w:val="center"/>
          </w:tcPr>
          <w:p w14:paraId="344337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vAlign w:val="center"/>
          </w:tcPr>
          <w:p w14:paraId="11B5E2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  <w:lang w:val="uk-UA" w:eastAsia="ru-RU"/>
              </w:rPr>
            </w:pPr>
          </w:p>
        </w:tc>
        <w:tc>
          <w:tcPr>
            <w:tcW w:w="1653" w:type="dxa"/>
          </w:tcPr>
          <w:p w14:paraId="09C6D0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  <w:lang w:val="uk-UA" w:eastAsia="ru-RU"/>
              </w:rPr>
            </w:pPr>
          </w:p>
        </w:tc>
      </w:tr>
      <w:tr w14:paraId="60ED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374" w:type="dxa"/>
            <w:shd w:val="clear" w:color="auto" w:fill="auto"/>
            <w:noWrap/>
            <w:vAlign w:val="center"/>
          </w:tcPr>
          <w:p w14:paraId="55A930B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999" w:type="dxa"/>
            <w:vAlign w:val="center"/>
          </w:tcPr>
          <w:p w14:paraId="56BFE8B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  <w:lang w:val="uk-UA" w:eastAsia="ru-RU"/>
              </w:rPr>
            </w:pP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1B4F08A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  <w:lang w:val="uk-UA" w:eastAsia="ru-RU"/>
              </w:rPr>
            </w:pPr>
          </w:p>
        </w:tc>
        <w:tc>
          <w:tcPr>
            <w:tcW w:w="749" w:type="dxa"/>
            <w:vAlign w:val="center"/>
          </w:tcPr>
          <w:p w14:paraId="420B98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pacing w:val="1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55" w:type="dxa"/>
            <w:vAlign w:val="center"/>
          </w:tcPr>
          <w:p w14:paraId="51D9E8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pacing w:val="1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53" w:type="dxa"/>
          </w:tcPr>
          <w:p w14:paraId="2FB2297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  <w:lang w:val="uk-UA" w:eastAsia="ru-RU"/>
              </w:rPr>
            </w:pPr>
          </w:p>
        </w:tc>
      </w:tr>
    </w:tbl>
    <w:p w14:paraId="792965B5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15CE0"/>
    <w:rsid w:val="7A7B0F52"/>
    <w:rsid w:val="7F42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2024-10-27T22:24:00Z</dcterms:created>
  <dc:creator>Кудряшка</dc:creator>
  <cp:lastModifiedBy>Кудряшка</cp:lastModifiedBy>
  <dcterms:modified xsi:type="dcterms:W3CDTF">2024-10-29T16:10:33Z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948553BCA36848B9980B20B6B6D0B822_12</vt:lpwstr>
  </property>
</Properties>
</file>